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600880</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4</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SBFD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applicability of SBFD to NR-DC, but no agreements are reached.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issue</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ACD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31DEB45">
            <w:pPr>
              <w:pStyle w:val="4"/>
              <w:numPr>
                <w:ilvl w:val="2"/>
                <w:numId w:val="0"/>
              </w:numPr>
              <w:tabs>
                <w:tab w:val="left" w:pos="432"/>
                <w:tab w:val="clear" w:pos="720"/>
              </w:tabs>
              <w:ind w:left="720" w:hanging="7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Issue 1-1-1: Applicability of SBFD to NR-DC and CA</w:t>
            </w:r>
          </w:p>
          <w:p w14:paraId="6CC4336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Way forward</w:t>
            </w:r>
          </w:p>
          <w:p w14:paraId="12C5E52B">
            <w:pPr>
              <w:pStyle w:val="12"/>
              <w:numPr>
                <w:ilvl w:val="1"/>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Discuss the following options for SBFD with NR-DC</w:t>
            </w:r>
          </w:p>
          <w:p w14:paraId="4CF54BFB">
            <w:pPr>
              <w:pStyle w:val="12"/>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SBFD is supported with NR-DC (Qualcomm, ZTE)</w:t>
            </w:r>
          </w:p>
          <w:p w14:paraId="7970C036">
            <w:pPr>
              <w:pStyle w:val="12"/>
              <w:numPr>
                <w:ilvl w:val="4"/>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Reply to RAN2 LS confirming feasibility of SBFD with NR-DC</w:t>
            </w:r>
          </w:p>
          <w:p w14:paraId="758AC443">
            <w:pPr>
              <w:pStyle w:val="12"/>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2: SBFD is not supported with NR-DC (E///, Nokia)</w:t>
            </w:r>
          </w:p>
          <w:p w14:paraId="679826DD">
            <w:pPr>
              <w:pStyle w:val="12"/>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3: Wait for the decision in other WGs (OPPO, CATT, E///, Samsung, Nokia)</w:t>
            </w:r>
          </w:p>
          <w:p w14:paraId="5317D51C">
            <w:pPr>
              <w:pStyle w:val="12"/>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4: RAN4 can provide the analysis on the RRM impact for DC, and leave the decision in other WGs (ZTE, Samsung, QC, Apple)</w:t>
            </w:r>
          </w:p>
          <w:p w14:paraId="0F2242EA">
            <w:pPr>
              <w:pStyle w:val="12"/>
              <w:numPr>
                <w:ilvl w:val="1"/>
                <w:numId w:val="4"/>
              </w:numPr>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Further discuss whether to send a reply LS to RAN2 based on the above</w:t>
            </w:r>
          </w:p>
          <w:p w14:paraId="6DF7B0CE">
            <w:pPr>
              <w:pStyle w:val="12"/>
              <w:numPr>
                <w:ilvl w:val="0"/>
                <w:numId w:val="0"/>
              </w:numPr>
              <w:ind w:left="720" w:leftChars="0"/>
              <w:rPr>
                <w:rFonts w:hint="default" w:ascii="Times New Roman" w:hAnsi="Times New Roman" w:cs="Times New Roman"/>
                <w:sz w:val="20"/>
                <w:szCs w:val="20"/>
                <w:highlight w:val="none"/>
                <w:vertAlign w:val="baseline"/>
                <w:lang w:val="en-US" w:eastAsia="zh-CN"/>
              </w:rPr>
            </w:pPr>
          </w:p>
        </w:tc>
      </w:tr>
    </w:tbl>
    <w:p w14:paraId="0D937B8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B902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RAN1 agreements, SBFD and NR-DC can be configured simultaneously.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71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1CE7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RAN1 Agreements</w:t>
            </w:r>
          </w:p>
          <w:p w14:paraId="2B2D66D6">
            <w:pPr>
              <w:adjustRightInd w:val="0"/>
              <w:snapToGrid w:val="0"/>
              <w:spacing w:before="156" w:beforeLines="50" w:after="156" w:afterLines="50" w:line="240" w:lineRule="auto"/>
              <w:rPr>
                <w:rFonts w:hint="default" w:ascii="Times New Roman" w:hAnsi="Times New Roman"/>
                <w:sz w:val="20"/>
                <w:szCs w:val="20"/>
                <w:vertAlign w:val="baseline"/>
                <w:lang w:val="en-US" w:eastAsia="zh-CN"/>
              </w:rPr>
            </w:pPr>
            <w:r>
              <w:rPr>
                <w:rFonts w:ascii="Times New Roman" w:hAnsi="Times New Roman" w:eastAsia="宋体"/>
                <w:sz w:val="20"/>
                <w:szCs w:val="20"/>
                <w:highlight w:val="none"/>
                <w:lang w:val="en-US" w:eastAsia="zh-CN"/>
              </w:rPr>
              <w:t xml:space="preserve">From RAN1 perspective, considering the specification impact, SBFD and NR-DC can be configured simultaneously only for inter-band NR-DC </w:t>
            </w:r>
            <w:r>
              <w:rPr>
                <w:rFonts w:ascii="Times New Roman" w:hAnsi="Times New Roman" w:eastAsia="宋体"/>
                <w:sz w:val="20"/>
                <w:szCs w:val="20"/>
                <w:lang w:val="en-US" w:eastAsia="zh-CN"/>
              </w:rPr>
              <w:t xml:space="preserve">if a UE is capable of simultaneous transmission and reception indicated by UE capability simultaneousRxTxInterBandCA, where SBFD operation is applicable on only one NR TDD carrier. </w:t>
            </w:r>
          </w:p>
        </w:tc>
      </w:tr>
    </w:tbl>
    <w:p w14:paraId="08399C5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3F471CE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As for RAN4 spec impact, from the perspective of RRM requirements, no RRM impact are identified from our side. </w:t>
      </w:r>
    </w:p>
    <w:p w14:paraId="7FD6B9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Based on above consideration, we support that </w:t>
      </w:r>
      <w:r>
        <w:rPr>
          <w:rFonts w:hint="default" w:ascii="Times New Roman" w:hAnsi="Times New Roman" w:eastAsia="宋体" w:cs="Times New Roman"/>
          <w:sz w:val="20"/>
          <w:szCs w:val="20"/>
          <w:highlight w:val="none"/>
          <w:lang w:eastAsia="zh-CN"/>
        </w:rPr>
        <w:t>SBFD is supported with NR-DC</w:t>
      </w:r>
      <w:r>
        <w:rPr>
          <w:rFonts w:hint="eastAsia" w:ascii="Times New Roman" w:hAnsi="Times New Roman" w:cs="Times New Roman"/>
          <w:sz w:val="20"/>
          <w:szCs w:val="20"/>
          <w:highlight w:val="none"/>
          <w:lang w:val="en-US" w:eastAsia="zh-CN"/>
        </w:rPr>
        <w:t>. Since this issue has been discussed for a long time, to move forward, we are also fine with the solution that RAN4 can provide the analysis on the RRM impact for DC, and leave the decision in other WGs.</w:t>
      </w:r>
    </w:p>
    <w:p w14:paraId="3399A43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1: considering no RRM impact are identified, it is proposed that </w:t>
      </w:r>
      <w:r>
        <w:rPr>
          <w:rFonts w:hint="default" w:ascii="Times New Roman" w:hAnsi="Times New Roman" w:eastAsia="宋体" w:cs="Times New Roman"/>
          <w:b/>
          <w:bCs/>
          <w:i/>
          <w:iCs/>
          <w:sz w:val="20"/>
          <w:szCs w:val="20"/>
          <w:highlight w:val="none"/>
          <w:lang w:eastAsia="zh-CN"/>
        </w:rPr>
        <w:t>SBFD is supported with NR-DC</w:t>
      </w:r>
      <w:r>
        <w:rPr>
          <w:rFonts w:hint="eastAsia" w:ascii="Times New Roman" w:hAnsi="Times New Roman" w:cs="Times New Roman"/>
          <w:b/>
          <w:bCs/>
          <w:i/>
          <w:iCs/>
          <w:sz w:val="20"/>
          <w:szCs w:val="20"/>
          <w:highlight w:val="none"/>
          <w:lang w:val="en-US" w:eastAsia="zh-CN"/>
        </w:rPr>
        <w:t xml:space="preserve">. To move forward, we are also fine with the solution that RAN4 provide the analysis on the RRM impact for DC, and leave the decision in other WGs. </w:t>
      </w:r>
      <w:r>
        <w:rPr>
          <w:rFonts w:hint="eastAsia" w:ascii="Times New Roman" w:hAnsi="Times New Roman"/>
          <w:b/>
          <w:bCs/>
          <w:i/>
          <w:iCs/>
          <w:sz w:val="20"/>
          <w:szCs w:val="20"/>
          <w:lang w:val="en-US" w:eastAsia="zh-CN"/>
        </w:rPr>
        <w:t xml:space="preserve">   </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core requirements</w:t>
      </w:r>
      <w:r>
        <w:rPr>
          <w:rFonts w:hint="eastAsia" w:ascii="Times New Roman" w:hAnsi="Times New Roman"/>
          <w:sz w:val="20"/>
          <w:szCs w:val="20"/>
          <w:highlight w:val="none"/>
        </w:rPr>
        <w:t>. The proposals are:</w:t>
      </w:r>
    </w:p>
    <w:p w14:paraId="350B12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highlight w:val="none"/>
          <w:lang w:val="en-US" w:eastAsia="zh-CN"/>
        </w:rPr>
        <w:t xml:space="preserve">Proposal 1: considering no RRM impact are identified, it is proposed that </w:t>
      </w:r>
      <w:r>
        <w:rPr>
          <w:rFonts w:hint="default" w:ascii="Times New Roman" w:hAnsi="Times New Roman" w:eastAsia="宋体" w:cs="Times New Roman"/>
          <w:b/>
          <w:bCs/>
          <w:i/>
          <w:iCs/>
          <w:sz w:val="20"/>
          <w:szCs w:val="20"/>
          <w:highlight w:val="none"/>
          <w:lang w:eastAsia="zh-CN"/>
        </w:rPr>
        <w:t>SBFD is supported with NR-DC</w:t>
      </w:r>
      <w:r>
        <w:rPr>
          <w:rFonts w:hint="eastAsia" w:ascii="Times New Roman" w:hAnsi="Times New Roman" w:cs="Times New Roman"/>
          <w:b/>
          <w:bCs/>
          <w:i/>
          <w:iCs/>
          <w:sz w:val="20"/>
          <w:szCs w:val="20"/>
          <w:highlight w:val="none"/>
          <w:lang w:val="en-US" w:eastAsia="zh-CN"/>
        </w:rPr>
        <w:t xml:space="preserve">. To move forward, we are also fine with the solution that RAN4 provide the analysis on the RRM impact for DC, and leave the decision in other WGs. </w:t>
      </w:r>
      <w:r>
        <w:rPr>
          <w:rFonts w:hint="eastAsia" w:ascii="Times New Roman" w:hAnsi="Times New Roman"/>
          <w:b/>
          <w:bCs/>
          <w:i/>
          <w:iCs/>
          <w:sz w:val="20"/>
          <w:szCs w:val="20"/>
          <w:lang w:val="en-US" w:eastAsia="zh-CN"/>
        </w:rPr>
        <w:t xml:space="preserve">   </w:t>
      </w:r>
    </w:p>
    <w:p w14:paraId="47C6099C">
      <w:pPr>
        <w:tabs>
          <w:tab w:val="left" w:pos="1134"/>
        </w:tabs>
        <w:spacing w:after="180" w:line="240" w:lineRule="exact"/>
        <w:rPr>
          <w:rFonts w:hint="eastAsia" w:ascii="Times New Roman" w:hAnsi="Times New Roman"/>
          <w:sz w:val="20"/>
          <w:szCs w:val="20"/>
          <w:highlight w:val="none"/>
        </w:rPr>
      </w:pP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426223E2">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R4-2522639</w:t>
      </w:r>
      <w:r>
        <w:rPr>
          <w:rFonts w:hint="eastAsia" w:ascii="Times" w:hAnsi="Times" w:eastAsia="宋体"/>
          <w:b w:val="0"/>
          <w:sz w:val="20"/>
          <w:lang w:val="en-US" w:eastAsia="zh-CN"/>
        </w:rPr>
        <w:t>, WF on NR_duplex_evo_RRM, Qualcomm</w:t>
      </w:r>
    </w:p>
    <w:p w14:paraId="104F549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R4-2515166</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[116bis][309] Rel-19 RRM performance_Part1</w:t>
      </w:r>
      <w:r>
        <w:rPr>
          <w:rFonts w:hint="eastAsia" w:ascii="Times" w:hAnsi="Times" w:eastAsia="宋体"/>
          <w:b w:val="0"/>
          <w:sz w:val="20"/>
          <w:lang w:val="en-US" w:eastAsia="zh-CN"/>
        </w:rPr>
        <w:t>, Moderator (Qualcomm)</w:t>
      </w:r>
    </w:p>
    <w:p w14:paraId="1A6B8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12133, WF on RRM requirements for NR_duplex_evo, Huawei, HiSilicon</w:t>
      </w:r>
    </w:p>
    <w:p w14:paraId="371FE1D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1579BA"/>
    <w:rsid w:val="0BB44D87"/>
    <w:rsid w:val="0CD8520D"/>
    <w:rsid w:val="0DD40EBD"/>
    <w:rsid w:val="0E367C5D"/>
    <w:rsid w:val="0F095A37"/>
    <w:rsid w:val="0FE3189D"/>
    <w:rsid w:val="105B6EC8"/>
    <w:rsid w:val="11604C92"/>
    <w:rsid w:val="11625144"/>
    <w:rsid w:val="11D129C7"/>
    <w:rsid w:val="12236F4E"/>
    <w:rsid w:val="13057541"/>
    <w:rsid w:val="146A55F3"/>
    <w:rsid w:val="15AD04C1"/>
    <w:rsid w:val="196675BB"/>
    <w:rsid w:val="197D0A1F"/>
    <w:rsid w:val="19A91D8B"/>
    <w:rsid w:val="19CE05F3"/>
    <w:rsid w:val="1AF8515B"/>
    <w:rsid w:val="1B65127F"/>
    <w:rsid w:val="1BC06F9C"/>
    <w:rsid w:val="1C1502BC"/>
    <w:rsid w:val="1CB317C0"/>
    <w:rsid w:val="1CEC5C03"/>
    <w:rsid w:val="1E9601BD"/>
    <w:rsid w:val="1FCF11BE"/>
    <w:rsid w:val="20282B52"/>
    <w:rsid w:val="20372402"/>
    <w:rsid w:val="208805ED"/>
    <w:rsid w:val="22ED6B5D"/>
    <w:rsid w:val="232F3DA0"/>
    <w:rsid w:val="23657AA0"/>
    <w:rsid w:val="24FC7E99"/>
    <w:rsid w:val="2509234F"/>
    <w:rsid w:val="278D6D3A"/>
    <w:rsid w:val="28501313"/>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49E1464"/>
    <w:rsid w:val="56DA3153"/>
    <w:rsid w:val="56FE7B2F"/>
    <w:rsid w:val="572A2B91"/>
    <w:rsid w:val="578135A0"/>
    <w:rsid w:val="5ACF2987"/>
    <w:rsid w:val="5C8D3BF2"/>
    <w:rsid w:val="5CCE66D5"/>
    <w:rsid w:val="5D7F2C7A"/>
    <w:rsid w:val="5FD0250C"/>
    <w:rsid w:val="603B0CB0"/>
    <w:rsid w:val="609A6C8B"/>
    <w:rsid w:val="60BD5766"/>
    <w:rsid w:val="624C0D43"/>
    <w:rsid w:val="62F21F51"/>
    <w:rsid w:val="63F97611"/>
    <w:rsid w:val="658713A2"/>
    <w:rsid w:val="665A5356"/>
    <w:rsid w:val="6684087E"/>
    <w:rsid w:val="67125837"/>
    <w:rsid w:val="681151C8"/>
    <w:rsid w:val="6A995C7D"/>
    <w:rsid w:val="6B850EE2"/>
    <w:rsid w:val="6BC309B6"/>
    <w:rsid w:val="6BF72930"/>
    <w:rsid w:val="6C535B83"/>
    <w:rsid w:val="6C9B19DD"/>
    <w:rsid w:val="6D6E1218"/>
    <w:rsid w:val="6E11612E"/>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2026-01-30T06:41:29Z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